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32 vom 16. Dezember 2019</w:t>
      </w:r>
    </w:p>
    <w:p>
      <w:r>
        <w:t>SZ Gerichte, 2019-12-16, DE</w:t>
      </w:r>
    </w:p>
    <w:p>
      <w:r>
        <w:rPr>
          <w:b/>
        </w:rPr>
        <w:t xml:space="preserve">Quelle: </w:t>
      </w:r>
      <w:r>
        <w:t>https://mcp.opencaselaw.ch/entscheid/sz_gerichte_ZK2 2019 32</w:t>
      </w:r>
    </w:p>
    <w:p>
      <w:r>
        <w:t>FR: SZ_GERICHTE ZK2 2019 32 du 16 décembre 2019</w:t>
      </w:r>
    </w:p>
    <w:p>
      <w:r>
        <w:t>IT: SZ_GERICHTE ZK2 2019 32 del 16 dicembre 2019</w:t>
      </w:r>
    </w:p>
    <w:p>
      <w:pPr>
        <w:pStyle w:val="Heading2"/>
      </w:pPr>
      <w:r>
        <w:t>Regeste</w:t>
      </w:r>
    </w:p>
    <w:p>
      <w:r>
        <w:t>unentgeltliche Rechtspflege | Vermittlerämter</w:t>
      </w:r>
    </w:p>
    <w:p>
      <w:pPr>
        <w:pStyle w:val="Heading2"/>
      </w:pPr>
      <w:r>
        <w:t>Erwägungen</w:t>
      </w:r>
    </w:p>
    <w:p>
      <w:r>
        <w:rPr>
          <w:b/>
        </w:rPr>
        <w:t>E. 1</w:t>
      </w:r>
    </w:p>
    <w:p>
      <w:r>
        <w:t>A.________, Gesuchsteller und Beschwerdeführer,</w:t>
      </w:r>
    </w:p>
    <w:p>
      <w:r>
        <w:rPr>
          <w:b/>
        </w:rPr>
        <w:t>E. 2</w:t>
      </w:r>
    </w:p>
    <w:p>
      <w:r>
        <w:t>B.________, Gesuchstellerin und Beschwerdeführerin, \n \n \n \n \n \n \n \n \n \n betreffend \n unentgeltliche Rechtspflege \n \n \n \n (Beschwerde gegen die Verfügung des Vermittleramtes Tuggen vom 8. März 2019 [recte: 8. April 2019], STU 2019 6 und STU 2019 3);- \n \n \n \n hat die 2. Zivilkammer, \n \n nachdem sich ergeben und in Erwägung: \n 1. A.________ und B.________ reichten beim Vermittleramt Tuggen am 2. März 2019 (Unterschrift; Übergabedatum an die Schweizerische Post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